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45" w:lineRule="atLeast"/>
        <w:jc w:val="center"/>
        <w:outlineLvl w:val="3"/>
        <w:rPr>
          <w:rFonts w:hint="eastAsia" w:ascii="宋体" w:hAnsi="宋体" w:cs="Tahoma"/>
          <w:b/>
          <w:color w:val="333333"/>
          <w:kern w:val="0"/>
          <w:sz w:val="24"/>
          <w:szCs w:val="24"/>
        </w:rPr>
      </w:pPr>
      <w:r>
        <w:rPr>
          <w:rFonts w:ascii="宋体" w:hAnsi="宋体" w:cs="Tahoma"/>
          <w:b/>
          <w:color w:val="333333"/>
          <w:kern w:val="0"/>
          <w:sz w:val="24"/>
          <w:szCs w:val="24"/>
        </w:rPr>
        <w:t>法学院</w:t>
      </w:r>
      <w:r>
        <w:rPr>
          <w:rFonts w:hint="eastAsia" w:ascii="宋体" w:hAnsi="宋体" w:cs="Tahoma"/>
          <w:b/>
          <w:color w:val="333333"/>
          <w:kern w:val="0"/>
          <w:sz w:val="24"/>
          <w:szCs w:val="24"/>
          <w:lang w:eastAsia="zh-CN"/>
        </w:rPr>
        <w:t>、</w:t>
      </w:r>
      <w:r>
        <w:rPr>
          <w:rFonts w:ascii="宋体" w:hAnsi="宋体" w:cs="Tahoma"/>
          <w:b/>
          <w:color w:val="333333"/>
          <w:kern w:val="0"/>
          <w:sz w:val="24"/>
          <w:szCs w:val="24"/>
        </w:rPr>
        <w:t>知识产权学院</w:t>
      </w:r>
      <w:r>
        <w:rPr>
          <w:rFonts w:hint="eastAsia" w:ascii="宋体" w:hAnsi="宋体" w:cs="Tahoma"/>
          <w:b/>
          <w:color w:val="333333"/>
          <w:kern w:val="0"/>
          <w:sz w:val="24"/>
          <w:szCs w:val="24"/>
          <w:lang w:eastAsia="zh-CN"/>
        </w:rPr>
        <w:t>与信用风险管理学院</w:t>
      </w:r>
      <w:r>
        <w:rPr>
          <w:rFonts w:ascii="宋体" w:hAnsi="宋体" w:cs="Tahoma"/>
          <w:b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cs="Tahoma"/>
          <w:b/>
          <w:color w:val="333333"/>
          <w:kern w:val="0"/>
          <w:sz w:val="24"/>
          <w:szCs w:val="24"/>
          <w:lang w:val="en-US" w:eastAsia="zh-CN"/>
        </w:rPr>
        <w:t>21</w:t>
      </w:r>
      <w:r>
        <w:rPr>
          <w:rFonts w:ascii="宋体" w:hAnsi="宋体" w:cs="Tahoma"/>
          <w:b/>
          <w:color w:val="333333"/>
          <w:kern w:val="0"/>
          <w:sz w:val="24"/>
          <w:szCs w:val="24"/>
        </w:rPr>
        <w:t>年研究生</w:t>
      </w:r>
      <w:r>
        <w:rPr>
          <w:rFonts w:hint="eastAsia" w:ascii="宋体" w:hAnsi="宋体" w:cs="Tahoma"/>
          <w:b/>
          <w:color w:val="333333"/>
          <w:kern w:val="0"/>
          <w:sz w:val="24"/>
          <w:szCs w:val="24"/>
        </w:rPr>
        <w:t>科研创新项目</w:t>
      </w:r>
    </w:p>
    <w:p>
      <w:pPr>
        <w:widowControl/>
        <w:spacing w:before="100" w:beforeAutospacing="1" w:after="100" w:afterAutospacing="1" w:line="345" w:lineRule="atLeast"/>
        <w:jc w:val="center"/>
        <w:outlineLvl w:val="3"/>
        <w:rPr>
          <w:rFonts w:ascii="宋体" w:hAnsi="宋体" w:cs="Tahoma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cs="Tahoma"/>
          <w:b/>
          <w:color w:val="333333"/>
          <w:kern w:val="0"/>
          <w:sz w:val="24"/>
          <w:szCs w:val="24"/>
        </w:rPr>
        <w:t>评审</w:t>
      </w:r>
      <w:r>
        <w:rPr>
          <w:rFonts w:ascii="宋体" w:hAnsi="宋体" w:cs="Tahoma"/>
          <w:b/>
          <w:color w:val="333333"/>
          <w:kern w:val="0"/>
          <w:sz w:val="24"/>
          <w:szCs w:val="24"/>
        </w:rPr>
        <w:t>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440" w:lineRule="atLeast"/>
        <w:ind w:firstLine="482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经研究生本人申请，专家匿名评审，决定给予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曾哲彪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等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位研究生申请的20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年研究生科研创新项目立项。公示时间为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日至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日。公示期内，如有异议，请以书面方式向我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院研究生工作办公室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（法学楼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205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）反映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，电话0731-58298385；0731-58293566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after="150" w:line="300" w:lineRule="exact"/>
        <w:ind w:firstLine="0" w:firstLineChars="0"/>
        <w:jc w:val="righ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after="150" w:line="380" w:lineRule="exact"/>
        <w:ind w:firstLine="0" w:firstLineChars="0"/>
        <w:jc w:val="right"/>
        <w:textAlignment w:val="auto"/>
        <w:rPr>
          <w:rFonts w:hint="default" w:ascii="宋体" w:hAnsi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法学院、知识产权学院、信用风险管理学院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after="150" w:line="38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ascii="宋体" w:hAnsi="宋体" w:cs="宋体"/>
          <w:b/>
          <w:bCs/>
          <w:kern w:val="0"/>
          <w:sz w:val="21"/>
          <w:szCs w:val="21"/>
        </w:rPr>
        <w:t>法学院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、</w:t>
      </w:r>
      <w:r>
        <w:rPr>
          <w:rFonts w:ascii="宋体" w:hAnsi="宋体" w:cs="宋体"/>
          <w:b/>
          <w:bCs/>
          <w:kern w:val="0"/>
          <w:sz w:val="21"/>
          <w:szCs w:val="21"/>
        </w:rPr>
        <w:t>知识产权学院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与信用风险管理学院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20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21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年研究生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科研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创新项目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名单公示</w:t>
      </w:r>
    </w:p>
    <w:tbl>
      <w:tblPr>
        <w:tblStyle w:val="2"/>
        <w:tblW w:w="88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6762"/>
        <w:gridCol w:w="1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拟立项项目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食品、药品监管渎职罪客观方面研究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曾哲彪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妨害药品管理罪的教义学阐释与漏洞填补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杨沛霆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运输毒品罪的既遂判断标准研究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论法律的规范空间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司法领域社会稳定风险评估机制研究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谌千慧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商业利用场景下个人信息分类保护问题研究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叶春梅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数字鸿沟的法律规制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未成年人网络服务适龄设计研究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贺亚峰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国际体育仲裁院关于足球转会分成条款的判例研究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陈玮菱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“冰上丝绸之路”背景下中俄北极能源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个人数据重标识行为入罪研究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民法典时代“绿色原则”在专利开放许可制度中的适用研究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钟崇文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瑕疵私文书证证明力认定实证研究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版权技术措施实施主体行为规制研究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邓亚蕾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人格权禁令制度的性质与程序对接研究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周千荀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论医疗侵权精神损害赔偿量化标准之构建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黄君妹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执行中首封债权人优先受偿的困境及完善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622BF"/>
    <w:rsid w:val="0DCD5F9B"/>
    <w:rsid w:val="0DF41E8E"/>
    <w:rsid w:val="0E3E7FCB"/>
    <w:rsid w:val="1A613302"/>
    <w:rsid w:val="1B2C220F"/>
    <w:rsid w:val="1C3C0AEF"/>
    <w:rsid w:val="1CEE2D3E"/>
    <w:rsid w:val="2BBA7D09"/>
    <w:rsid w:val="2D17369F"/>
    <w:rsid w:val="3CD0561D"/>
    <w:rsid w:val="3D7E1CB7"/>
    <w:rsid w:val="3F323EBA"/>
    <w:rsid w:val="43DD5F33"/>
    <w:rsid w:val="44BD5BF6"/>
    <w:rsid w:val="485651E5"/>
    <w:rsid w:val="490601FB"/>
    <w:rsid w:val="55EA1D71"/>
    <w:rsid w:val="59D5212D"/>
    <w:rsid w:val="5D780930"/>
    <w:rsid w:val="7441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2020-07-07T01:54:00Z</dcterms:created>
  <dc:creator>Administrator</dc:creator>
  <cp:lastModifiedBy>Administrator</cp:lastModifiedBy>
  <cp:lastPrinted>2020-07-07T06:49:00Z</cp:lastPrinted>
  <dcterms:modified xsi:type="dcterms:W3CDTF">2021-07-02T08:54:04Z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AC102A84E686478C910175237299ADB4</vt:lpwstr>
  </property>
</Properties>
</file>